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C86" w:rsidRPr="00C94ECB" w:rsidRDefault="00284C86" w:rsidP="006E535F">
      <w:pPr>
        <w:jc w:val="center"/>
        <w:rPr>
          <w:b/>
          <w:sz w:val="28"/>
          <w:szCs w:val="28"/>
        </w:rPr>
      </w:pPr>
      <w:bookmarkStart w:id="0" w:name="_GoBack"/>
      <w:bookmarkEnd w:id="0"/>
      <w:r w:rsidRPr="00C94ECB">
        <w:rPr>
          <w:b/>
          <w:sz w:val="28"/>
          <w:szCs w:val="28"/>
        </w:rPr>
        <w:t>Instructions for equity trade-off practical</w:t>
      </w:r>
    </w:p>
    <w:p w:rsidR="00284C86" w:rsidRDefault="006E6CE4" w:rsidP="0016262B">
      <w:pPr>
        <w:rPr>
          <w:b/>
        </w:rPr>
      </w:pPr>
      <w:r>
        <w:rPr>
          <w:b/>
        </w:rPr>
        <w:t xml:space="preserve">Revised </w:t>
      </w:r>
      <w:r w:rsidR="00D36296">
        <w:rPr>
          <w:b/>
        </w:rPr>
        <w:t>19 Feb 2018</w:t>
      </w:r>
    </w:p>
    <w:p w:rsidR="00BC53E7" w:rsidRDefault="00BC53E7" w:rsidP="0016262B">
      <w:pPr>
        <w:rPr>
          <w:b/>
        </w:rPr>
      </w:pPr>
      <w:r>
        <w:rPr>
          <w:b/>
        </w:rPr>
        <w:t xml:space="preserve">Link to access spreadsheets: </w:t>
      </w:r>
      <w:hyperlink r:id="rId7" w:history="1">
        <w:r w:rsidRPr="00BF7EEC">
          <w:rPr>
            <w:rStyle w:val="Hyperlink"/>
            <w:b/>
          </w:rPr>
          <w:t>https://www.york.ac.uk/che/research/equity/economic_evaluation/</w:t>
        </w:r>
      </w:hyperlink>
    </w:p>
    <w:p w:rsidR="008D6F7F" w:rsidRPr="007E7276" w:rsidRDefault="00284C86" w:rsidP="0016262B">
      <w:pPr>
        <w:rPr>
          <w:rFonts w:eastAsia="Times New Roman" w:cs="Arial"/>
          <w:bCs/>
          <w:iCs/>
          <w:color w:val="000000"/>
          <w:lang w:eastAsia="en-GB"/>
        </w:rPr>
      </w:pPr>
      <w:r w:rsidRPr="007E7276">
        <w:rPr>
          <w:b/>
          <w:sz w:val="24"/>
          <w:szCs w:val="24"/>
        </w:rPr>
        <w:t>Note</w:t>
      </w:r>
      <w:r w:rsidR="008D6F7F" w:rsidRPr="007E7276">
        <w:rPr>
          <w:b/>
          <w:sz w:val="24"/>
          <w:szCs w:val="24"/>
        </w:rPr>
        <w:t>s</w:t>
      </w:r>
      <w:r w:rsidRPr="007E7276">
        <w:rPr>
          <w:rFonts w:eastAsia="Times New Roman" w:cs="Arial"/>
          <w:bCs/>
          <w:iCs/>
          <w:color w:val="000000"/>
          <w:lang w:eastAsia="en-GB"/>
        </w:rPr>
        <w:t xml:space="preserve">  </w:t>
      </w:r>
    </w:p>
    <w:p w:rsidR="008D6F7F" w:rsidRPr="00C94ECB" w:rsidRDefault="008D6F7F" w:rsidP="00EB5A86">
      <w:pPr>
        <w:pStyle w:val="ListParagraph"/>
        <w:numPr>
          <w:ilvl w:val="0"/>
          <w:numId w:val="4"/>
        </w:numPr>
        <w:spacing w:after="0" w:line="240" w:lineRule="auto"/>
        <w:rPr>
          <w:rFonts w:eastAsia="Times New Roman" w:cs="Arial"/>
          <w:bCs/>
          <w:iCs/>
          <w:color w:val="000000"/>
          <w:lang w:eastAsia="en-GB"/>
        </w:rPr>
      </w:pPr>
      <w:r w:rsidRPr="00C94ECB">
        <w:rPr>
          <w:rFonts w:eastAsia="Times New Roman" w:cs="Arial"/>
          <w:bCs/>
          <w:iCs/>
          <w:color w:val="000000"/>
          <w:lang w:eastAsia="en-GB"/>
        </w:rPr>
        <w:t>There are two spreadsheets: “Equity practical – student file” and “Equity practical – solution file”.  Please open the “student file” to start with, and go through the worksheets filling in the relevant cells yourself.  You can look at the solution file if you get stuck.</w:t>
      </w:r>
    </w:p>
    <w:p w:rsidR="008D6F7F" w:rsidRPr="00C94ECB" w:rsidRDefault="008D6F7F" w:rsidP="00EB5A86">
      <w:pPr>
        <w:pStyle w:val="ListParagraph"/>
        <w:numPr>
          <w:ilvl w:val="0"/>
          <w:numId w:val="4"/>
        </w:numPr>
        <w:spacing w:after="0" w:line="240" w:lineRule="auto"/>
        <w:rPr>
          <w:rFonts w:eastAsia="Times New Roman" w:cs="Arial"/>
          <w:bCs/>
          <w:iCs/>
          <w:color w:val="000000"/>
          <w:lang w:eastAsia="en-GB"/>
        </w:rPr>
      </w:pPr>
      <w:r w:rsidRPr="00C94ECB">
        <w:t>T</w:t>
      </w:r>
      <w:r w:rsidR="00284C86" w:rsidRPr="00C94ECB">
        <w:t>hese step-by-step instructions are reproduced on the main worksheets of the spreadsheet.  There are also four additional worksheets with optional extra material requiring a more advanced understanding of Excel functions and mathematics, for which step-by-step instructions are not provided.</w:t>
      </w:r>
    </w:p>
    <w:p w:rsidR="008D6F7F" w:rsidRPr="00C94ECB" w:rsidRDefault="008D6F7F" w:rsidP="00EB5A86">
      <w:pPr>
        <w:pStyle w:val="ListParagraph"/>
        <w:numPr>
          <w:ilvl w:val="0"/>
          <w:numId w:val="4"/>
        </w:numPr>
        <w:spacing w:after="0" w:line="240" w:lineRule="auto"/>
        <w:rPr>
          <w:rFonts w:eastAsia="Times New Roman" w:cs="Arial"/>
          <w:bCs/>
          <w:iCs/>
          <w:color w:val="000000"/>
          <w:lang w:eastAsia="en-GB"/>
        </w:rPr>
      </w:pPr>
      <w:r w:rsidRPr="00C94ECB">
        <w:rPr>
          <w:rFonts w:eastAsia="Times New Roman" w:cs="Arial"/>
          <w:bCs/>
          <w:iCs/>
          <w:color w:val="000000"/>
          <w:lang w:eastAsia="en-GB"/>
        </w:rPr>
        <w:t>When th</w:t>
      </w:r>
      <w:r w:rsidR="00C94ECB" w:rsidRPr="00C94ECB">
        <w:rPr>
          <w:rFonts w:eastAsia="Times New Roman" w:cs="Arial"/>
          <w:bCs/>
          <w:iCs/>
          <w:color w:val="000000"/>
          <w:lang w:eastAsia="en-GB"/>
        </w:rPr>
        <w:t>e</w:t>
      </w:r>
      <w:r w:rsidRPr="00C94ECB">
        <w:rPr>
          <w:rFonts w:eastAsia="Times New Roman" w:cs="Arial"/>
          <w:bCs/>
          <w:iCs/>
          <w:color w:val="000000"/>
          <w:lang w:eastAsia="en-GB"/>
        </w:rPr>
        <w:t xml:space="preserve"> spreadsheet is first opened a ‘Security Warning’ may be displayed below the menu bar.  Select ‘Enable this content’</w:t>
      </w:r>
      <w:r w:rsidR="007E7276">
        <w:rPr>
          <w:rFonts w:eastAsia="Times New Roman" w:cs="Arial"/>
          <w:bCs/>
          <w:iCs/>
          <w:color w:val="000000"/>
          <w:lang w:eastAsia="en-GB"/>
        </w:rPr>
        <w:t>.</w:t>
      </w:r>
    </w:p>
    <w:p w:rsidR="008D6F7F" w:rsidRPr="00C94ECB" w:rsidRDefault="008D6F7F" w:rsidP="008D6F7F">
      <w:pPr>
        <w:pStyle w:val="ListParagraph"/>
        <w:spacing w:after="0" w:line="240" w:lineRule="auto"/>
        <w:rPr>
          <w:rFonts w:eastAsia="Times New Roman" w:cs="Arial"/>
          <w:bCs/>
          <w:iCs/>
          <w:color w:val="000000"/>
          <w:lang w:eastAsia="en-GB"/>
        </w:rPr>
      </w:pPr>
    </w:p>
    <w:p w:rsidR="002A0C8C" w:rsidRPr="00C94ECB" w:rsidRDefault="002A0C8C" w:rsidP="0016262B">
      <w:pPr>
        <w:rPr>
          <w:b/>
          <w:sz w:val="24"/>
        </w:rPr>
      </w:pPr>
      <w:r w:rsidRPr="00C94ECB">
        <w:rPr>
          <w:b/>
          <w:sz w:val="24"/>
        </w:rPr>
        <w:t>Sheet 1. Title</w:t>
      </w:r>
      <w:r w:rsidR="00284C86" w:rsidRPr="00C94ECB">
        <w:rPr>
          <w:b/>
          <w:sz w:val="24"/>
        </w:rPr>
        <w:t>-</w:t>
      </w:r>
      <w:r w:rsidRPr="00C94ECB">
        <w:rPr>
          <w:b/>
          <w:sz w:val="24"/>
        </w:rPr>
        <w:t>Intro</w:t>
      </w:r>
    </w:p>
    <w:p w:rsidR="0016262B" w:rsidRPr="00C94ECB" w:rsidRDefault="0016262B" w:rsidP="0016262B">
      <w:r w:rsidRPr="00C94ECB">
        <w:t>The objective of this practical is to analyse an equity trade-off between improving total health and reducing health inequality.</w:t>
      </w:r>
      <w:r w:rsidR="006E535F" w:rsidRPr="00C94ECB">
        <w:t xml:space="preserve">  </w:t>
      </w:r>
      <w:r w:rsidRPr="00C94ECB">
        <w:t>In the exercise, you will analyse the health and equity impacts.</w:t>
      </w:r>
    </w:p>
    <w:p w:rsidR="0016262B" w:rsidRPr="00C94ECB" w:rsidRDefault="0016262B" w:rsidP="0016262B">
      <w:r w:rsidRPr="00C94ECB">
        <w:t>You are confronted with a hypothetical, equity-focused policy, "Programme B".</w:t>
      </w:r>
      <w:r w:rsidR="006E535F" w:rsidRPr="00C94ECB">
        <w:t xml:space="preserve">  </w:t>
      </w:r>
      <w:r w:rsidR="006E6CE4">
        <w:t>There is an assumption that funding is</w:t>
      </w:r>
      <w:r w:rsidRPr="00C94ECB">
        <w:t xml:space="preserve"> obtained from a fixed, fully allocated budget for health.</w:t>
      </w:r>
      <w:r w:rsidR="006E535F" w:rsidRPr="00C94ECB">
        <w:t xml:space="preserve">  The current situation is described by "Programme A".  Funding "Programme B" requires disinvestment from "Programme A".  "Programme B"</w:t>
      </w:r>
      <w:r w:rsidRPr="00C94ECB">
        <w:t xml:space="preserve"> reduces social inequality in health, but is not cost-effective. Its health benefits do not outweigh its costs so it reduces total health.</w:t>
      </w:r>
      <w:r w:rsidRPr="00C94ECB">
        <w:tab/>
      </w:r>
      <w:r w:rsidRPr="00C94ECB">
        <w:tab/>
      </w:r>
      <w:r w:rsidRPr="00C94ECB">
        <w:tab/>
      </w:r>
      <w:r w:rsidRPr="00C94ECB">
        <w:tab/>
      </w:r>
      <w:r w:rsidRPr="00C94ECB">
        <w:tab/>
      </w:r>
      <w:r w:rsidRPr="00C94ECB">
        <w:tab/>
      </w:r>
    </w:p>
    <w:p w:rsidR="0016262B" w:rsidRPr="00C94ECB" w:rsidRDefault="00C94ECB" w:rsidP="0016262B">
      <w:r w:rsidRPr="00C94ECB">
        <w:t>I</w:t>
      </w:r>
      <w:r w:rsidR="00A0002B" w:rsidRPr="00C94ECB">
        <w:t>n t</w:t>
      </w:r>
      <w:r w:rsidR="0016262B" w:rsidRPr="00C94ECB">
        <w:t>he next sheets, we will show you what an equity trade-off looks like using this simplified hypothetical example.</w:t>
      </w:r>
      <w:r w:rsidR="00A0002B" w:rsidRPr="00C94ECB">
        <w:t xml:space="preserve">  </w:t>
      </w:r>
      <w:r w:rsidR="0016262B" w:rsidRPr="00C94ECB">
        <w:t xml:space="preserve">Several of the following sheets will have you fill in cells yourself to calculate the equity trade-off. </w:t>
      </w:r>
    </w:p>
    <w:p w:rsidR="002A0C8C" w:rsidRPr="002C46DC" w:rsidRDefault="002A0C8C" w:rsidP="00B55388">
      <w:pPr>
        <w:spacing w:after="0" w:line="240" w:lineRule="auto"/>
        <w:rPr>
          <w:rFonts w:eastAsia="Times New Roman" w:cs="Arial"/>
          <w:bCs/>
          <w:i/>
          <w:lang w:eastAsia="en-GB"/>
        </w:rPr>
      </w:pPr>
      <w:r w:rsidRPr="002C46DC">
        <w:rPr>
          <w:rFonts w:eastAsia="Times New Roman" w:cs="Arial"/>
          <w:bCs/>
          <w:i/>
          <w:lang w:eastAsia="en-GB"/>
        </w:rPr>
        <w:t xml:space="preserve">Now turn to </w:t>
      </w:r>
      <w:r w:rsidR="00A0002B" w:rsidRPr="002C46DC">
        <w:rPr>
          <w:rFonts w:eastAsia="Times New Roman" w:cs="Arial"/>
          <w:bCs/>
          <w:i/>
          <w:lang w:eastAsia="en-GB"/>
        </w:rPr>
        <w:t>S</w:t>
      </w:r>
      <w:r w:rsidRPr="002C46DC">
        <w:rPr>
          <w:rFonts w:eastAsia="Times New Roman" w:cs="Arial"/>
          <w:bCs/>
          <w:i/>
          <w:lang w:eastAsia="en-GB"/>
        </w:rPr>
        <w:t>heet 2 to calculate the total health impact</w:t>
      </w:r>
      <w:r w:rsidR="00284C86" w:rsidRPr="002C46DC">
        <w:rPr>
          <w:rFonts w:eastAsia="Times New Roman" w:cs="Arial"/>
          <w:bCs/>
          <w:i/>
          <w:lang w:eastAsia="en-GB"/>
        </w:rPr>
        <w:t>.</w:t>
      </w:r>
    </w:p>
    <w:p w:rsidR="00C94ECB" w:rsidRPr="00C94ECB" w:rsidRDefault="00C94ECB" w:rsidP="00B55388">
      <w:pPr>
        <w:spacing w:after="0" w:line="240" w:lineRule="auto"/>
        <w:rPr>
          <w:rFonts w:eastAsia="Times New Roman" w:cs="Arial"/>
          <w:bCs/>
          <w:lang w:eastAsia="en-GB"/>
        </w:rPr>
      </w:pPr>
    </w:p>
    <w:p w:rsidR="00B55388" w:rsidRPr="00C94ECB" w:rsidRDefault="00B55388" w:rsidP="00B55388">
      <w:pPr>
        <w:spacing w:after="0" w:line="240" w:lineRule="auto"/>
        <w:rPr>
          <w:rFonts w:eastAsia="Times New Roman" w:cs="Arial"/>
          <w:b/>
          <w:bCs/>
          <w:lang w:eastAsia="en-GB"/>
        </w:rPr>
      </w:pPr>
    </w:p>
    <w:p w:rsidR="002A0C8C" w:rsidRPr="00C94ECB" w:rsidRDefault="002A0C8C" w:rsidP="0016262B">
      <w:pPr>
        <w:rPr>
          <w:b/>
          <w:sz w:val="24"/>
        </w:rPr>
      </w:pPr>
      <w:r w:rsidRPr="00C94ECB">
        <w:rPr>
          <w:b/>
          <w:sz w:val="24"/>
        </w:rPr>
        <w:t>Sheet 2. Health impact</w:t>
      </w:r>
    </w:p>
    <w:p w:rsidR="001A57E2" w:rsidRPr="00C94ECB" w:rsidRDefault="001A57E2" w:rsidP="001A57E2">
      <w:r w:rsidRPr="00C94ECB">
        <w:t>The table below describes Programmes A and B using three input variables, by wealth quintile group:</w:t>
      </w:r>
    </w:p>
    <w:p w:rsidR="001A57E2" w:rsidRPr="00C94ECB" w:rsidRDefault="001A57E2" w:rsidP="001A57E2">
      <w:pPr>
        <w:pStyle w:val="ListParagraph"/>
        <w:numPr>
          <w:ilvl w:val="0"/>
          <w:numId w:val="2"/>
        </w:numPr>
      </w:pPr>
      <w:r w:rsidRPr="00C94ECB">
        <w:t>Input 1. Quality adjusted life expectancy (QALE) at birth of the average individual under Programme A (column B)</w:t>
      </w:r>
      <w:r w:rsidRPr="00C94ECB">
        <w:tab/>
      </w:r>
      <w:r w:rsidRPr="00C94ECB">
        <w:tab/>
      </w:r>
      <w:r w:rsidRPr="00C94ECB">
        <w:tab/>
      </w:r>
      <w:r w:rsidRPr="00C94ECB">
        <w:tab/>
      </w:r>
      <w:r w:rsidRPr="00C94ECB">
        <w:tab/>
      </w:r>
    </w:p>
    <w:p w:rsidR="001A57E2" w:rsidRPr="00C94ECB" w:rsidRDefault="001A57E2" w:rsidP="001A57E2">
      <w:pPr>
        <w:pStyle w:val="ListParagraph"/>
        <w:numPr>
          <w:ilvl w:val="0"/>
          <w:numId w:val="2"/>
        </w:numPr>
      </w:pPr>
      <w:r w:rsidRPr="00C94ECB">
        <w:t>Input 2. The incremental QAL</w:t>
      </w:r>
      <w:r w:rsidR="002C46DC">
        <w:t>Ys</w:t>
      </w:r>
      <w:r w:rsidRPr="00C94ECB">
        <w:t xml:space="preserve"> f</w:t>
      </w:r>
      <w:r w:rsidR="002C46DC">
        <w:t>or</w:t>
      </w:r>
      <w:r w:rsidRPr="00C94ECB">
        <w:t xml:space="preserve"> the average individual under equity-focused Programme B (column C)</w:t>
      </w:r>
      <w:r w:rsidRPr="00C94ECB">
        <w:tab/>
      </w:r>
      <w:r w:rsidRPr="00C94ECB">
        <w:tab/>
      </w:r>
      <w:r w:rsidRPr="00C94ECB">
        <w:tab/>
      </w:r>
      <w:r w:rsidRPr="00C94ECB">
        <w:tab/>
      </w:r>
      <w:r w:rsidRPr="00C94ECB">
        <w:tab/>
      </w:r>
    </w:p>
    <w:p w:rsidR="001A57E2" w:rsidRPr="00C94ECB" w:rsidRDefault="001A57E2" w:rsidP="001A57E2">
      <w:pPr>
        <w:pStyle w:val="ListParagraph"/>
        <w:numPr>
          <w:ilvl w:val="0"/>
          <w:numId w:val="2"/>
        </w:numPr>
      </w:pPr>
      <w:r w:rsidRPr="00C94ECB">
        <w:t>Input 3. Population size of each wealth quintile group (column E)</w:t>
      </w:r>
      <w:r w:rsidRPr="00C94ECB">
        <w:tab/>
      </w:r>
    </w:p>
    <w:p w:rsidR="00D36296" w:rsidRDefault="00D36296">
      <w:pPr>
        <w:rPr>
          <w:b/>
        </w:rPr>
      </w:pPr>
      <w:r>
        <w:rPr>
          <w:b/>
        </w:rPr>
        <w:br w:type="page"/>
      </w:r>
    </w:p>
    <w:p w:rsidR="001A57E2" w:rsidRPr="00C94ECB" w:rsidRDefault="001A57E2" w:rsidP="001A57E2">
      <w:r w:rsidRPr="008B4B07">
        <w:rPr>
          <w:b/>
        </w:rPr>
        <w:lastRenderedPageBreak/>
        <w:t>TASK 1</w:t>
      </w:r>
      <w:r w:rsidRPr="00C94ECB">
        <w:t xml:space="preserve">. To calculate the total heath impact of Programme B, </w:t>
      </w:r>
      <w:r w:rsidRPr="008B4B07">
        <w:rPr>
          <w:u w:val="single"/>
        </w:rPr>
        <w:t>fill in the green highlighted cells</w:t>
      </w:r>
      <w:r w:rsidR="002C46DC">
        <w:t>.</w:t>
      </w:r>
    </w:p>
    <w:p w:rsidR="001A57E2" w:rsidRPr="00C94ECB" w:rsidRDefault="001A57E2" w:rsidP="001A57E2">
      <w:pPr>
        <w:pStyle w:val="ListParagraph"/>
        <w:numPr>
          <w:ilvl w:val="0"/>
          <w:numId w:val="1"/>
        </w:numPr>
      </w:pPr>
      <w:r w:rsidRPr="00C94ECB">
        <w:t xml:space="preserve">First add columns B and C to get the resulting individual health when Programme B is introduced (column D).  </w:t>
      </w:r>
    </w:p>
    <w:p w:rsidR="001A57E2" w:rsidRPr="00C94ECB" w:rsidRDefault="002C46DC" w:rsidP="001A57E2">
      <w:pPr>
        <w:pStyle w:val="ListParagraph"/>
        <w:numPr>
          <w:ilvl w:val="0"/>
          <w:numId w:val="1"/>
        </w:numPr>
      </w:pPr>
      <w:r>
        <w:t>M</w:t>
      </w:r>
      <w:r w:rsidR="001A57E2" w:rsidRPr="00C94ECB">
        <w:t xml:space="preserve">ultiply </w:t>
      </w:r>
      <w:r>
        <w:t xml:space="preserve">column C </w:t>
      </w:r>
      <w:r w:rsidR="001A57E2" w:rsidRPr="00C94ECB">
        <w:t xml:space="preserve">by population to get the population impact for each quintile group (column F).  </w:t>
      </w:r>
    </w:p>
    <w:p w:rsidR="001A57E2" w:rsidRPr="00C94ECB" w:rsidRDefault="001A57E2" w:rsidP="001A57E2">
      <w:pPr>
        <w:pStyle w:val="ListParagraph"/>
        <w:numPr>
          <w:ilvl w:val="0"/>
          <w:numId w:val="1"/>
        </w:numPr>
      </w:pPr>
      <w:r w:rsidRPr="00C94ECB">
        <w:t>Finally, calculate the relevant totals and averages.</w:t>
      </w:r>
    </w:p>
    <w:p w:rsidR="002C46DC" w:rsidRDefault="002C46DC" w:rsidP="00F70325">
      <w:r>
        <w:t>After completing TASK 1.</w:t>
      </w:r>
    </w:p>
    <w:p w:rsidR="00F70325" w:rsidRPr="00C94ECB" w:rsidRDefault="00F70325" w:rsidP="00F70325">
      <w:r w:rsidRPr="00C94ECB">
        <w:t>The sign of th</w:t>
      </w:r>
      <w:r w:rsidR="002C46DC">
        <w:t>e average individual impact (C17</w:t>
      </w:r>
      <w:r w:rsidRPr="00C94ECB">
        <w:t>) should be negative, since Programme B is not cost-effective.</w:t>
      </w:r>
      <w:r w:rsidRPr="00C94ECB">
        <w:tab/>
      </w:r>
      <w:r w:rsidRPr="00C94ECB">
        <w:tab/>
      </w:r>
      <w:r w:rsidRPr="00C94ECB">
        <w:tab/>
      </w:r>
      <w:r w:rsidRPr="00C94ECB">
        <w:tab/>
      </w:r>
    </w:p>
    <w:p w:rsidR="00F70325" w:rsidRPr="00C94ECB" w:rsidRDefault="00F70325" w:rsidP="00F70325">
      <w:r w:rsidRPr="00C94ECB">
        <w:t>The population health impact is the average individual impact multiplied by the population size, in this case 50 million.</w:t>
      </w:r>
      <w:r w:rsidRPr="00C94ECB">
        <w:tab/>
      </w:r>
      <w:r w:rsidRPr="00C94ECB">
        <w:tab/>
      </w:r>
      <w:r w:rsidRPr="00C94ECB">
        <w:tab/>
      </w:r>
      <w:r w:rsidRPr="00C94ECB">
        <w:tab/>
      </w:r>
    </w:p>
    <w:p w:rsidR="00F70325" w:rsidRPr="00C94ECB" w:rsidRDefault="00F70325" w:rsidP="00F70325">
      <w:r w:rsidRPr="00C94ECB">
        <w:t>Figures: How does the equity-focused B distribution of lifetime health (in red) differ from the comparator A distribution (in blue).  How does this relate to the net population health impact?  Is total health bigger or smaller in Programme B?  Is the distribution more or less equal?  Would you choose A or B?</w:t>
      </w:r>
      <w:r w:rsidRPr="00C94ECB">
        <w:tab/>
      </w:r>
      <w:r w:rsidRPr="00C94ECB">
        <w:tab/>
      </w:r>
      <w:r w:rsidRPr="00C94ECB">
        <w:tab/>
      </w:r>
      <w:r w:rsidRPr="00C94ECB">
        <w:tab/>
      </w:r>
      <w:r w:rsidRPr="00C94ECB">
        <w:tab/>
      </w:r>
      <w:r w:rsidRPr="00C94ECB">
        <w:tab/>
      </w:r>
      <w:r w:rsidRPr="00C94ECB">
        <w:tab/>
      </w:r>
      <w:r w:rsidRPr="00C94ECB">
        <w:tab/>
      </w:r>
      <w:r w:rsidRPr="00C94ECB">
        <w:tab/>
      </w:r>
    </w:p>
    <w:p w:rsidR="00F70325" w:rsidRPr="002C46DC" w:rsidRDefault="00F70325" w:rsidP="00F70325">
      <w:pPr>
        <w:rPr>
          <w:i/>
        </w:rPr>
      </w:pPr>
      <w:r w:rsidRPr="002C46DC">
        <w:rPr>
          <w:i/>
        </w:rPr>
        <w:t>Now that you have worked out the total health impact, let's quantify the equity impact. We will use the Atkinson inequality index as our equity metric. Sheet 3 will show you how to calculate this index.</w:t>
      </w:r>
    </w:p>
    <w:p w:rsidR="00F70325" w:rsidRPr="008B4B07" w:rsidRDefault="00F70325" w:rsidP="00F70325">
      <w:pPr>
        <w:rPr>
          <w:b/>
          <w:sz w:val="24"/>
        </w:rPr>
      </w:pPr>
      <w:r w:rsidRPr="008B4B07">
        <w:rPr>
          <w:b/>
          <w:sz w:val="24"/>
        </w:rPr>
        <w:t>Sheet 3. Equity impact</w:t>
      </w:r>
    </w:p>
    <w:p w:rsidR="0087445A" w:rsidRDefault="0087445A" w:rsidP="0087445A">
      <w:r>
        <w:t>The Atkinson welfare and inequality indices are seen in equations (1) and (2) below.</w:t>
      </w:r>
      <w:r w:rsidR="008B4B07">
        <w:t xml:space="preserve">  </w:t>
      </w:r>
      <w:r>
        <w:t>The estimated size of the equity impact depends on the chosen inequality aversion parameter ε.  We have entered an initial benchmark value of 11 for ε, and have used the Excel "named range" feature to name this value "</w:t>
      </w:r>
      <w:r w:rsidR="006E6CE4">
        <w:t>atkinson</w:t>
      </w:r>
      <w:r>
        <w:t xml:space="preserve">_e" so that we can change it later on.  You can use this feature in formulae simply by writing </w:t>
      </w:r>
      <w:r w:rsidR="006E6CE4">
        <w:t>atkinson</w:t>
      </w:r>
      <w:r>
        <w:t>_e instead of 11.</w:t>
      </w:r>
      <w:r w:rsidR="008B4B07">
        <w:t xml:space="preserve">  </w:t>
      </w:r>
      <w:r>
        <w:t>Later on you can change this parameter to see what happens.</w:t>
      </w:r>
    </w:p>
    <w:p w:rsidR="0087445A" w:rsidRDefault="0087445A" w:rsidP="0087445A">
      <w:r w:rsidRPr="008B4B07">
        <w:rPr>
          <w:b/>
        </w:rPr>
        <w:t>TASK 2</w:t>
      </w:r>
      <w:r>
        <w:t xml:space="preserve">. To calculate the equity impact, </w:t>
      </w:r>
      <w:r w:rsidRPr="008B4B07">
        <w:rPr>
          <w:u w:val="single"/>
        </w:rPr>
        <w:t>fill in the green highlighted cells</w:t>
      </w:r>
      <w:r>
        <w:t>:</w:t>
      </w:r>
    </w:p>
    <w:p w:rsidR="0087445A" w:rsidRDefault="0087445A" w:rsidP="0087445A">
      <w:r>
        <w:t>Calculate the Equally Distributed Equivalent (EDE) welfare index in cells F9:F13 using the formula in orange (hint, look at column D).</w:t>
      </w:r>
    </w:p>
    <w:p w:rsidR="0087445A" w:rsidRDefault="0087445A" w:rsidP="0087445A">
      <w:r>
        <w:t xml:space="preserve">Next, sum across all quintile groups in F14.  Then divide by the population to compute the population average in F15.  </w:t>
      </w:r>
    </w:p>
    <w:p w:rsidR="0087445A" w:rsidRDefault="0087445A" w:rsidP="0087445A">
      <w:r>
        <w:t xml:space="preserve">Then compute the EDE by taking the average in cell F15 to the power 1(1-ε) as per equation (1), and put this in cell F16. </w:t>
      </w:r>
    </w:p>
    <w:p w:rsidR="0087445A" w:rsidRDefault="0087445A" w:rsidP="0087445A">
      <w:r>
        <w:t xml:space="preserve">Now calculate the Atkinson inequality index A(ε) for Programme B using equation (2) in cell F17. </w:t>
      </w:r>
    </w:p>
    <w:p w:rsidR="0087445A" w:rsidRDefault="0087445A" w:rsidP="0087445A">
      <w:r>
        <w:t xml:space="preserve">Finally, calculate the difference between B and A for the two indices in cells G16 and G17. </w:t>
      </w:r>
    </w:p>
    <w:p w:rsidR="00D81745" w:rsidRPr="00C94ECB" w:rsidRDefault="0087445A" w:rsidP="0087445A">
      <w:r>
        <w:t>Take the reverse sign of the A(ε) difference in cell I17 for plotting purposes: a positive impact represents an improvement.</w:t>
      </w:r>
      <w:r w:rsidR="00D81745" w:rsidRPr="00C94ECB">
        <w:tab/>
      </w:r>
    </w:p>
    <w:p w:rsidR="005A69A0" w:rsidRPr="00C94ECB" w:rsidRDefault="005A69A0" w:rsidP="005A69A0">
      <w:r w:rsidRPr="00C94ECB">
        <w:lastRenderedPageBreak/>
        <w:t>Key Atkinson formulae:</w:t>
      </w:r>
    </w:p>
    <w:p w:rsidR="005A69A0" w:rsidRPr="00C94ECB" w:rsidRDefault="005A69A0" w:rsidP="005A69A0">
      <w:r w:rsidRPr="00C94ECB">
        <w:t>Welfare index</w:t>
      </w:r>
    </w:p>
    <w:p w:rsidR="00B55388" w:rsidRPr="00C94ECB" w:rsidRDefault="005A69A0" w:rsidP="00F70325">
      <w:r w:rsidRPr="00C94ECB">
        <w:rPr>
          <w:noProof/>
          <w:lang w:eastAsia="en-GB"/>
        </w:rPr>
        <mc:AlternateContent>
          <mc:Choice Requires="wps">
            <w:drawing>
              <wp:inline distT="0" distB="0" distL="0" distR="0" wp14:anchorId="36D6AF5A" wp14:editId="6511E842">
                <wp:extent cx="2047875" cy="623570"/>
                <wp:effectExtent l="0" t="0" r="9525" b="5080"/>
                <wp:docPr id="2" name="TextBox 1"/>
                <wp:cNvGraphicFramePr/>
                <a:graphic xmlns:a="http://schemas.openxmlformats.org/drawingml/2006/main">
                  <a:graphicData uri="http://schemas.microsoft.com/office/word/2010/wordprocessingShape">
                    <wps:wsp>
                      <wps:cNvSpPr txBox="1"/>
                      <wps:spPr>
                        <a:xfrm>
                          <a:off x="0" y="0"/>
                          <a:ext cx="2047875" cy="623570"/>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rsidR="005A69A0" w:rsidRDefault="005A69A0" w:rsidP="005A69A0">
                            <w:pPr>
                              <w:pStyle w:val="NormalWeb"/>
                              <w:spacing w:before="0" w:beforeAutospacing="0" w:after="0" w:afterAutospacing="0"/>
                            </w:pPr>
                            <w:r>
                              <w:rPr>
                                <w:rFonts w:asciiTheme="minorHAnsi" w:hAnsi="Calibri" w:cstheme="minorBidi"/>
                                <w:color w:val="000000" w:themeColor="text1"/>
                                <w:sz w:val="28"/>
                                <w:szCs w:val="28"/>
                              </w:rPr>
                              <w:t xml:space="preserve">(1) </w:t>
                            </w:r>
                            <m:oMath>
                              <m:r>
                                <w:rPr>
                                  <w:rFonts w:ascii="Cambria Math" w:hAnsi="Cambria Math" w:cstheme="minorBidi"/>
                                  <w:color w:val="000000" w:themeColor="text1"/>
                                  <w:sz w:val="28"/>
                                  <w:szCs w:val="28"/>
                                </w:rPr>
                                <m:t>EDE=</m:t>
                              </m:r>
                              <m:sSup>
                                <m:sSupPr>
                                  <m:ctrlPr>
                                    <w:rPr>
                                      <w:rFonts w:ascii="Cambria Math" w:hAnsi="Cambria Math" w:cstheme="minorBidi"/>
                                      <w:i/>
                                      <w:iCs/>
                                      <w:color w:val="000000" w:themeColor="text1"/>
                                      <w:sz w:val="28"/>
                                      <w:szCs w:val="28"/>
                                    </w:rPr>
                                  </m:ctrlPr>
                                </m:sSupPr>
                                <m:e>
                                  <m:d>
                                    <m:dPr>
                                      <m:ctrlPr>
                                        <w:rPr>
                                          <w:rFonts w:ascii="Cambria Math" w:hAnsi="Cambria Math" w:cstheme="minorBidi"/>
                                          <w:i/>
                                          <w:iCs/>
                                          <w:color w:val="000000" w:themeColor="text1"/>
                                          <w:sz w:val="28"/>
                                          <w:szCs w:val="28"/>
                                        </w:rPr>
                                      </m:ctrlPr>
                                    </m:dPr>
                                    <m:e>
                                      <m:f>
                                        <m:fPr>
                                          <m:ctrlPr>
                                            <w:rPr>
                                              <w:rFonts w:ascii="Cambria Math" w:hAnsi="Cambria Math" w:cstheme="minorBidi"/>
                                              <w:i/>
                                              <w:iCs/>
                                              <w:color w:val="000000" w:themeColor="text1"/>
                                              <w:sz w:val="28"/>
                                              <w:szCs w:val="28"/>
                                            </w:rPr>
                                          </m:ctrlPr>
                                        </m:fPr>
                                        <m:num>
                                          <m:r>
                                            <w:rPr>
                                              <w:rFonts w:ascii="Cambria Math" w:hAnsi="Cambria Math" w:cstheme="minorBidi"/>
                                              <w:color w:val="000000" w:themeColor="text1"/>
                                              <w:sz w:val="28"/>
                                              <w:szCs w:val="28"/>
                                            </w:rPr>
                                            <m:t>1</m:t>
                                          </m:r>
                                        </m:num>
                                        <m:den>
                                          <m:r>
                                            <w:rPr>
                                              <w:rFonts w:ascii="Cambria Math" w:hAnsi="Cambria Math" w:cstheme="minorBidi"/>
                                              <w:color w:val="000000" w:themeColor="text1"/>
                                              <w:sz w:val="28"/>
                                              <w:szCs w:val="28"/>
                                            </w:rPr>
                                            <m:t>N</m:t>
                                          </m:r>
                                        </m:den>
                                      </m:f>
                                      <m:nary>
                                        <m:naryPr>
                                          <m:chr m:val="∑"/>
                                          <m:subHide m:val="1"/>
                                          <m:supHide m:val="1"/>
                                          <m:ctrlPr>
                                            <w:rPr>
                                              <w:rFonts w:ascii="Cambria Math" w:hAnsi="Cambria Math" w:cstheme="minorBidi"/>
                                              <w:i/>
                                              <w:iCs/>
                                              <w:color w:val="000000" w:themeColor="text1"/>
                                              <w:sz w:val="28"/>
                                              <w:szCs w:val="28"/>
                                            </w:rPr>
                                          </m:ctrlPr>
                                        </m:naryPr>
                                        <m:sub/>
                                        <m:sup/>
                                        <m:e>
                                          <m:sSubSup>
                                            <m:sSubSupPr>
                                              <m:ctrlPr>
                                                <w:rPr>
                                                  <w:rFonts w:ascii="Cambria Math" w:hAnsi="Cambria Math" w:cstheme="minorBidi"/>
                                                  <w:i/>
                                                  <w:iCs/>
                                                  <w:color w:val="000000" w:themeColor="text1"/>
                                                  <w:sz w:val="28"/>
                                                  <w:szCs w:val="28"/>
                                                </w:rPr>
                                              </m:ctrlPr>
                                            </m:sSubSupPr>
                                            <m:e>
                                              <m:r>
                                                <w:rPr>
                                                  <w:rFonts w:ascii="Cambria Math" w:hAnsi="Cambria Math" w:cstheme="minorBidi"/>
                                                  <w:color w:val="000000" w:themeColor="text1"/>
                                                  <w:sz w:val="28"/>
                                                  <w:szCs w:val="28"/>
                                                </w:rPr>
                                                <m:t>h</m:t>
                                              </m:r>
                                            </m:e>
                                            <m:sub>
                                              <m:r>
                                                <w:rPr>
                                                  <w:rFonts w:ascii="Cambria Math" w:hAnsi="Cambria Math" w:cstheme="minorBidi"/>
                                                  <w:color w:val="000000" w:themeColor="text1"/>
                                                  <w:sz w:val="28"/>
                                                  <w:szCs w:val="28"/>
                                                </w:rPr>
                                                <m:t>i</m:t>
                                              </m:r>
                                            </m:sub>
                                            <m:sup>
                                              <m:r>
                                                <w:rPr>
                                                  <w:rFonts w:ascii="Cambria Math" w:hAnsi="Cambria Math" w:cstheme="minorBidi"/>
                                                  <w:color w:val="000000" w:themeColor="text1"/>
                                                  <w:sz w:val="28"/>
                                                  <w:szCs w:val="28"/>
                                                </w:rPr>
                                                <m:t>1-ε</m:t>
                                              </m:r>
                                            </m:sup>
                                          </m:sSubSup>
                                        </m:e>
                                      </m:nary>
                                    </m:e>
                                  </m:d>
                                </m:e>
                                <m:sup>
                                  <m:f>
                                    <m:fPr>
                                      <m:ctrlPr>
                                        <w:rPr>
                                          <w:rFonts w:ascii="Cambria Math" w:hAnsi="Cambria Math" w:cstheme="minorBidi"/>
                                          <w:i/>
                                          <w:iCs/>
                                          <w:color w:val="000000" w:themeColor="text1"/>
                                          <w:sz w:val="28"/>
                                          <w:szCs w:val="28"/>
                                        </w:rPr>
                                      </m:ctrlPr>
                                    </m:fPr>
                                    <m:num>
                                      <m:r>
                                        <w:rPr>
                                          <w:rFonts w:ascii="Cambria Math" w:hAnsi="Cambria Math" w:cstheme="minorBidi"/>
                                          <w:color w:val="000000" w:themeColor="text1"/>
                                          <w:sz w:val="28"/>
                                          <w:szCs w:val="28"/>
                                        </w:rPr>
                                        <m:t>1</m:t>
                                      </m:r>
                                    </m:num>
                                    <m:den>
                                      <m:r>
                                        <w:rPr>
                                          <w:rFonts w:ascii="Cambria Math" w:hAnsi="Cambria Math" w:cstheme="minorBidi"/>
                                          <w:color w:val="000000" w:themeColor="text1"/>
                                          <w:sz w:val="28"/>
                                          <w:szCs w:val="28"/>
                                        </w:rPr>
                                        <m:t>1-</m:t>
                                      </m:r>
                                      <m:r>
                                        <w:rPr>
                                          <w:rFonts w:ascii="Cambria Math" w:eastAsia="Cambria Math" w:hAnsi="Cambria Math" w:cstheme="minorBidi"/>
                                          <w:color w:val="000000" w:themeColor="text1"/>
                                          <w:sz w:val="28"/>
                                          <w:szCs w:val="28"/>
                                        </w:rPr>
                                        <m:t>ε</m:t>
                                      </m:r>
                                    </m:den>
                                  </m:f>
                                </m:sup>
                              </m:sSup>
                            </m:oMath>
                          </w:p>
                        </w:txbxContent>
                      </wps:txbx>
                      <wps:bodyPr vertOverflow="clip" horzOverflow="clip" wrap="square" lIns="0" tIns="0" rIns="0" bIns="0" rtlCol="0" anchor="t">
                        <a:noAutofit/>
                      </wps:bodyPr>
                    </wps:wsp>
                  </a:graphicData>
                </a:graphic>
              </wp:inline>
            </w:drawing>
          </mc:Choice>
          <mc:Fallback>
            <w:pict>
              <v:shapetype w14:anchorId="36D6AF5A" id="_x0000_t202" coordsize="21600,21600" o:spt="202" path="m,l,21600r21600,l21600,xe">
                <v:stroke joinstyle="miter"/>
                <v:path gradientshapeok="t" o:connecttype="rect"/>
              </v:shapetype>
              <v:shape id="TextBox 1" o:spid="_x0000_s1026" type="#_x0000_t202" style="width:161.25pt;height:4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" fillcolor="white [3212]" stroked="f">
                <v:textbox inset="0,0,0,0">
                  <w:txbxContent>
                    <w:p w:rsidR="005A69A0" w:rsidRDefault="005A69A0" w:rsidP="005A69A0">
                      <w:pPr>
                        <w:pStyle w:val="NormalWeb"/>
                        <w:spacing w:before="0" w:beforeAutospacing="0" w:after="0" w:afterAutospacing="0"/>
                      </w:pPr>
                      <w:r>
                        <w:rPr>
                          <w:rFonts w:asciiTheme="minorHAnsi" w:hAnsi="Calibri" w:cstheme="minorBidi"/>
                          <w:color w:val="000000" w:themeColor="text1"/>
                          <w:sz w:val="28"/>
                          <w:szCs w:val="28"/>
                        </w:rPr>
                        <w:t xml:space="preserve">(1) </w:t>
                      </w:r>
                      <m:oMath>
                        <m:r>
                          <w:rPr>
                            <w:rFonts w:ascii="Cambria Math" w:hAnsi="Cambria Math" w:cstheme="minorBidi"/>
                            <w:color w:val="000000" w:themeColor="text1"/>
                            <w:sz w:val="28"/>
                            <w:szCs w:val="28"/>
                          </w:rPr>
                          <m:t>EDE=</m:t>
                        </m:r>
                        <m:sSup>
                          <m:sSupPr>
                            <m:ctrlPr>
                              <w:rPr>
                                <w:rFonts w:ascii="Cambria Math" w:hAnsi="Cambria Math" w:cstheme="minorBidi"/>
                                <w:i/>
                                <w:iCs/>
                                <w:color w:val="000000" w:themeColor="text1"/>
                                <w:sz w:val="28"/>
                                <w:szCs w:val="28"/>
                              </w:rPr>
                            </m:ctrlPr>
                          </m:sSupPr>
                          <m:e>
                            <m:d>
                              <m:dPr>
                                <m:ctrlPr>
                                  <w:rPr>
                                    <w:rFonts w:ascii="Cambria Math" w:hAnsi="Cambria Math" w:cstheme="minorBidi"/>
                                    <w:i/>
                                    <w:iCs/>
                                    <w:color w:val="000000" w:themeColor="text1"/>
                                    <w:sz w:val="28"/>
                                    <w:szCs w:val="28"/>
                                  </w:rPr>
                                </m:ctrlPr>
                              </m:dPr>
                              <m:e>
                                <m:f>
                                  <m:fPr>
                                    <m:ctrlPr>
                                      <w:rPr>
                                        <w:rFonts w:ascii="Cambria Math" w:hAnsi="Cambria Math" w:cstheme="minorBidi"/>
                                        <w:i/>
                                        <w:iCs/>
                                        <w:color w:val="000000" w:themeColor="text1"/>
                                        <w:sz w:val="28"/>
                                        <w:szCs w:val="28"/>
                                      </w:rPr>
                                    </m:ctrlPr>
                                  </m:fPr>
                                  <m:num>
                                    <m:r>
                                      <w:rPr>
                                        <w:rFonts w:ascii="Cambria Math" w:hAnsi="Cambria Math" w:cstheme="minorBidi"/>
                                        <w:color w:val="000000" w:themeColor="text1"/>
                                        <w:sz w:val="28"/>
                                        <w:szCs w:val="28"/>
                                      </w:rPr>
                                      <m:t>1</m:t>
                                    </m:r>
                                  </m:num>
                                  <m:den>
                                    <m:r>
                                      <w:rPr>
                                        <w:rFonts w:ascii="Cambria Math" w:hAnsi="Cambria Math" w:cstheme="minorBidi"/>
                                        <w:color w:val="000000" w:themeColor="text1"/>
                                        <w:sz w:val="28"/>
                                        <w:szCs w:val="28"/>
                                      </w:rPr>
                                      <m:t>N</m:t>
                                    </m:r>
                                  </m:den>
                                </m:f>
                                <m:nary>
                                  <m:naryPr>
                                    <m:chr m:val="∑"/>
                                    <m:subHide m:val="1"/>
                                    <m:supHide m:val="1"/>
                                    <m:ctrlPr>
                                      <w:rPr>
                                        <w:rFonts w:ascii="Cambria Math" w:hAnsi="Cambria Math" w:cstheme="minorBidi"/>
                                        <w:i/>
                                        <w:iCs/>
                                        <w:color w:val="000000" w:themeColor="text1"/>
                                        <w:sz w:val="28"/>
                                        <w:szCs w:val="28"/>
                                      </w:rPr>
                                    </m:ctrlPr>
                                  </m:naryPr>
                                  <m:sub/>
                                  <m:sup/>
                                  <m:e>
                                    <m:sSubSup>
                                      <m:sSubSupPr>
                                        <m:ctrlPr>
                                          <w:rPr>
                                            <w:rFonts w:ascii="Cambria Math" w:hAnsi="Cambria Math" w:cstheme="minorBidi"/>
                                            <w:i/>
                                            <w:iCs/>
                                            <w:color w:val="000000" w:themeColor="text1"/>
                                            <w:sz w:val="28"/>
                                            <w:szCs w:val="28"/>
                                          </w:rPr>
                                        </m:ctrlPr>
                                      </m:sSubSupPr>
                                      <m:e>
                                        <m:r>
                                          <w:rPr>
                                            <w:rFonts w:ascii="Cambria Math" w:hAnsi="Cambria Math" w:cstheme="minorBidi"/>
                                            <w:color w:val="000000" w:themeColor="text1"/>
                                            <w:sz w:val="28"/>
                                            <w:szCs w:val="28"/>
                                          </w:rPr>
                                          <m:t>h</m:t>
                                        </m:r>
                                      </m:e>
                                      <m:sub>
                                        <m:r>
                                          <w:rPr>
                                            <w:rFonts w:ascii="Cambria Math" w:hAnsi="Cambria Math" w:cstheme="minorBidi"/>
                                            <w:color w:val="000000" w:themeColor="text1"/>
                                            <w:sz w:val="28"/>
                                            <w:szCs w:val="28"/>
                                          </w:rPr>
                                          <m:t>i</m:t>
                                        </m:r>
                                      </m:sub>
                                      <m:sup>
                                        <m:r>
                                          <w:rPr>
                                            <w:rFonts w:ascii="Cambria Math" w:hAnsi="Cambria Math" w:cstheme="minorBidi"/>
                                            <w:color w:val="000000" w:themeColor="text1"/>
                                            <w:sz w:val="28"/>
                                            <w:szCs w:val="28"/>
                                          </w:rPr>
                                          <m:t>1-ε</m:t>
                                        </m:r>
                                      </m:sup>
                                    </m:sSubSup>
                                  </m:e>
                                </m:nary>
                              </m:e>
                            </m:d>
                          </m:e>
                          <m:sup>
                            <m:f>
                              <m:fPr>
                                <m:ctrlPr>
                                  <w:rPr>
                                    <w:rFonts w:ascii="Cambria Math" w:hAnsi="Cambria Math" w:cstheme="minorBidi"/>
                                    <w:i/>
                                    <w:iCs/>
                                    <w:color w:val="000000" w:themeColor="text1"/>
                                    <w:sz w:val="28"/>
                                    <w:szCs w:val="28"/>
                                  </w:rPr>
                                </m:ctrlPr>
                              </m:fPr>
                              <m:num>
                                <m:r>
                                  <w:rPr>
                                    <w:rFonts w:ascii="Cambria Math" w:hAnsi="Cambria Math" w:cstheme="minorBidi"/>
                                    <w:color w:val="000000" w:themeColor="text1"/>
                                    <w:sz w:val="28"/>
                                    <w:szCs w:val="28"/>
                                  </w:rPr>
                                  <m:t>1</m:t>
                                </m:r>
                              </m:num>
                              <m:den>
                                <m:r>
                                  <w:rPr>
                                    <w:rFonts w:ascii="Cambria Math" w:hAnsi="Cambria Math" w:cstheme="minorBidi"/>
                                    <w:color w:val="000000" w:themeColor="text1"/>
                                    <w:sz w:val="28"/>
                                    <w:szCs w:val="28"/>
                                  </w:rPr>
                                  <m:t>1-</m:t>
                                </m:r>
                                <m:r>
                                  <w:rPr>
                                    <w:rFonts w:ascii="Cambria Math" w:eastAsia="Cambria Math" w:hAnsi="Cambria Math" w:cstheme="minorBidi"/>
                                    <w:color w:val="000000" w:themeColor="text1"/>
                                    <w:sz w:val="28"/>
                                    <w:szCs w:val="28"/>
                                  </w:rPr>
                                  <m:t>ε</m:t>
                                </m:r>
                              </m:den>
                            </m:f>
                          </m:sup>
                        </m:sSup>
                      </m:oMath>
                    </w:p>
                  </w:txbxContent>
                </v:textbox>
                <w10:anchorlock/>
              </v:shape>
            </w:pict>
          </mc:Fallback>
        </mc:AlternateContent>
      </w:r>
    </w:p>
    <w:p w:rsidR="005A69A0" w:rsidRPr="00C94ECB" w:rsidRDefault="00B55388" w:rsidP="00F70325">
      <w:r w:rsidRPr="00C94ECB">
        <w:t>Inequality index</w:t>
      </w:r>
      <w:r w:rsidR="005A69A0" w:rsidRPr="00C94ECB">
        <w:tab/>
      </w:r>
      <w:r w:rsidR="005A69A0" w:rsidRPr="00C94ECB">
        <w:tab/>
      </w:r>
      <w:r w:rsidR="005A69A0" w:rsidRPr="00C94ECB">
        <w:tab/>
      </w:r>
      <w:r w:rsidR="005A69A0" w:rsidRPr="00C94ECB">
        <w:tab/>
      </w:r>
      <w:r w:rsidR="005A69A0" w:rsidRPr="00C94ECB">
        <w:tab/>
      </w:r>
    </w:p>
    <w:p w:rsidR="005A69A0" w:rsidRPr="00C94ECB" w:rsidRDefault="00B55388" w:rsidP="00F70325">
      <w:r w:rsidRPr="00C94ECB">
        <w:rPr>
          <w:noProof/>
          <w:lang w:eastAsia="en-GB"/>
        </w:rPr>
        <mc:AlternateContent>
          <mc:Choice Requires="wps">
            <w:drawing>
              <wp:inline distT="0" distB="0" distL="0" distR="0">
                <wp:extent cx="1466850" cy="305435"/>
                <wp:effectExtent l="0" t="0" r="0" b="3810"/>
                <wp:docPr id="4" name="TextBox 3"/>
                <wp:cNvGraphicFramePr/>
                <a:graphic xmlns:a="http://schemas.openxmlformats.org/drawingml/2006/main">
                  <a:graphicData uri="http://schemas.microsoft.com/office/word/2010/wordprocessingShape">
                    <wps:wsp>
                      <wps:cNvSpPr txBox="1"/>
                      <wps:spPr>
                        <a:xfrm>
                          <a:off x="0" y="0"/>
                          <a:ext cx="1466850" cy="305435"/>
                        </a:xfrm>
                        <a:prstGeom prst="rect">
                          <a:avLst/>
                        </a:prstGeom>
                        <a:solidFill>
                          <a:sysClr val="window" lastClr="FFFFFF"/>
                        </a:solidFill>
                        <a:ln>
                          <a:noFill/>
                        </a:ln>
                        <a:effectLst/>
                      </wps:spPr>
                      <wps:txbx>
                        <w:txbxContent>
                          <w:p w:rsidR="00B55388" w:rsidRDefault="00B55388" w:rsidP="00B55388">
                            <w:pPr>
                              <w:pStyle w:val="NormalWeb"/>
                              <w:spacing w:before="0" w:beforeAutospacing="0" w:after="0" w:afterAutospacing="0"/>
                            </w:pPr>
                            <w:r>
                              <w:rPr>
                                <w:rFonts w:ascii="Calibri" w:eastAsia="+mn-ea" w:hAnsi="Calibri" w:cs="+mn-cs"/>
                                <w:color w:val="000000"/>
                                <w:sz w:val="28"/>
                                <w:szCs w:val="28"/>
                              </w:rPr>
                              <w:t xml:space="preserve">(2) </w:t>
                            </w:r>
                            <m:oMath>
                              <m:r>
                                <w:rPr>
                                  <w:rFonts w:ascii="Cambria Math" w:eastAsia="+mn-ea" w:hAnsi="Cambria Math" w:cs="+mn-cs"/>
                                  <w:color w:val="000000"/>
                                  <w:sz w:val="28"/>
                                  <w:szCs w:val="28"/>
                                </w:rPr>
                                <m:t>A</m:t>
                              </m:r>
                              <m:d>
                                <m:dPr>
                                  <m:ctrlPr>
                                    <w:rPr>
                                      <w:rFonts w:ascii="Cambria Math" w:eastAsia="+mn-ea" w:hAnsi="Cambria Math" w:cs="+mn-cs"/>
                                      <w:i/>
                                      <w:iCs/>
                                      <w:color w:val="000000"/>
                                      <w:sz w:val="28"/>
                                      <w:szCs w:val="28"/>
                                    </w:rPr>
                                  </m:ctrlPr>
                                </m:dPr>
                                <m:e>
                                  <m:r>
                                    <w:rPr>
                                      <w:rFonts w:ascii="Cambria Math" w:eastAsia="Cambria Math" w:hAnsi="Cambria Math" w:cs="+mn-cs"/>
                                      <w:color w:val="000000"/>
                                      <w:sz w:val="28"/>
                                      <w:szCs w:val="28"/>
                                    </w:rPr>
                                    <m:t>ε</m:t>
                                  </m:r>
                                </m:e>
                              </m:d>
                              <m:r>
                                <w:rPr>
                                  <w:rFonts w:ascii="Cambria Math" w:eastAsia="Cambria Math" w:hAnsi="Cambria Math" w:cs="+mn-cs"/>
                                  <w:color w:val="000000"/>
                                  <w:sz w:val="28"/>
                                  <w:szCs w:val="28"/>
                                </w:rPr>
                                <m:t>=1-</m:t>
                              </m:r>
                              <m:f>
                                <m:fPr>
                                  <m:ctrlPr>
                                    <w:rPr>
                                      <w:rFonts w:ascii="Cambria Math" w:eastAsia="Cambria Math" w:hAnsi="Cambria Math" w:cs="+mn-cs"/>
                                      <w:i/>
                                      <w:iCs/>
                                      <w:color w:val="000000"/>
                                      <w:sz w:val="28"/>
                                      <w:szCs w:val="28"/>
                                    </w:rPr>
                                  </m:ctrlPr>
                                </m:fPr>
                                <m:num>
                                  <m:r>
                                    <w:rPr>
                                      <w:rFonts w:ascii="Cambria Math" w:eastAsia="Cambria Math" w:hAnsi="Cambria Math" w:cs="+mn-cs"/>
                                      <w:color w:val="000000"/>
                                      <w:sz w:val="28"/>
                                      <w:szCs w:val="28"/>
                                    </w:rPr>
                                    <m:t>EDE</m:t>
                                  </m:r>
                                </m:num>
                                <m:den>
                                  <m:acc>
                                    <m:accPr>
                                      <m:chr m:val="̅"/>
                                      <m:ctrlPr>
                                        <w:rPr>
                                          <w:rFonts w:ascii="Cambria Math" w:eastAsia="Cambria Math" w:hAnsi="Cambria Math" w:cs="+mn-cs"/>
                                          <w:i/>
                                          <w:iCs/>
                                          <w:color w:val="000000"/>
                                          <w:sz w:val="28"/>
                                          <w:szCs w:val="28"/>
                                        </w:rPr>
                                      </m:ctrlPr>
                                    </m:accPr>
                                    <m:e>
                                      <m:r>
                                        <w:rPr>
                                          <w:rFonts w:ascii="Cambria Math" w:eastAsia="Cambria Math" w:hAnsi="Cambria Math" w:cs="+mn-cs"/>
                                          <w:color w:val="000000"/>
                                          <w:sz w:val="28"/>
                                          <w:szCs w:val="28"/>
                                        </w:rPr>
                                        <m:t>h</m:t>
                                      </m:r>
                                    </m:e>
                                  </m:acc>
                                </m:den>
                              </m:f>
                            </m:oMath>
                          </w:p>
                        </w:txbxContent>
                      </wps:txbx>
                      <wps:bodyPr vertOverflow="clip" horzOverflow="clip" wrap="square" lIns="0" tIns="0" rIns="0" bIns="0" rtlCol="0" anchor="t">
                        <a:spAutoFit/>
                      </wps:bodyPr>
                    </wps:wsp>
                  </a:graphicData>
                </a:graphic>
              </wp:inline>
            </w:drawing>
          </mc:Choice>
          <mc:Fallback>
            <w:pict>
              <v:shape id="TextBox 3" o:spid="_x0000_s1027" type="#_x0000_t202" style="width:115.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" fillcolor="window" stroked="f">
                <v:textbox style="mso-fit-shape-to-text:t" inset="0,0,0,0">
                  <w:txbxContent>
                    <w:p w:rsidR="00B55388" w:rsidRDefault="00B55388" w:rsidP="00B55388">
                      <w:pPr>
                        <w:pStyle w:val="NormalWeb"/>
                        <w:spacing w:before="0" w:beforeAutospacing="0" w:after="0" w:afterAutospacing="0"/>
                      </w:pPr>
                      <w:r>
                        <w:rPr>
                          <w:rFonts w:ascii="Calibri" w:eastAsia="+mn-ea" w:hAnsi="Calibri" w:cs="+mn-cs"/>
                          <w:color w:val="000000"/>
                          <w:sz w:val="28"/>
                          <w:szCs w:val="28"/>
                        </w:rPr>
                        <w:t xml:space="preserve">(2) </w:t>
                      </w:r>
                      <m:oMath>
                        <m:r>
                          <w:rPr>
                            <w:rFonts w:ascii="Cambria Math" w:eastAsia="+mn-ea" w:hAnsi="Cambria Math" w:cs="+mn-cs"/>
                            <w:color w:val="000000"/>
                            <w:sz w:val="28"/>
                            <w:szCs w:val="28"/>
                          </w:rPr>
                          <m:t>A</m:t>
                        </m:r>
                        <m:d>
                          <m:dPr>
                            <m:ctrlPr>
                              <w:rPr>
                                <w:rFonts w:ascii="Cambria Math" w:eastAsia="+mn-ea" w:hAnsi="Cambria Math" w:cs="+mn-cs"/>
                                <w:i/>
                                <w:iCs/>
                                <w:color w:val="000000"/>
                                <w:sz w:val="28"/>
                                <w:szCs w:val="28"/>
                              </w:rPr>
                            </m:ctrlPr>
                          </m:dPr>
                          <m:e>
                            <m:r>
                              <w:rPr>
                                <w:rFonts w:ascii="Cambria Math" w:eastAsia="Cambria Math" w:hAnsi="Cambria Math" w:cs="+mn-cs"/>
                                <w:color w:val="000000"/>
                                <w:sz w:val="28"/>
                                <w:szCs w:val="28"/>
                              </w:rPr>
                              <m:t>ε</m:t>
                            </m:r>
                          </m:e>
                        </m:d>
                        <m:r>
                          <w:rPr>
                            <w:rFonts w:ascii="Cambria Math" w:eastAsia="Cambria Math" w:hAnsi="Cambria Math" w:cs="+mn-cs"/>
                            <w:color w:val="000000"/>
                            <w:sz w:val="28"/>
                            <w:szCs w:val="28"/>
                          </w:rPr>
                          <m:t>=1-</m:t>
                        </m:r>
                        <m:f>
                          <m:fPr>
                            <m:ctrlPr>
                              <w:rPr>
                                <w:rFonts w:ascii="Cambria Math" w:eastAsia="Cambria Math" w:hAnsi="Cambria Math" w:cs="+mn-cs"/>
                                <w:i/>
                                <w:iCs/>
                                <w:color w:val="000000"/>
                                <w:sz w:val="28"/>
                                <w:szCs w:val="28"/>
                              </w:rPr>
                            </m:ctrlPr>
                          </m:fPr>
                          <m:num>
                            <m:r>
                              <w:rPr>
                                <w:rFonts w:ascii="Cambria Math" w:eastAsia="Cambria Math" w:hAnsi="Cambria Math" w:cs="+mn-cs"/>
                                <w:color w:val="000000"/>
                                <w:sz w:val="28"/>
                                <w:szCs w:val="28"/>
                              </w:rPr>
                              <m:t>EDE</m:t>
                            </m:r>
                          </m:num>
                          <m:den>
                            <m:acc>
                              <m:accPr>
                                <m:chr m:val="̅"/>
                                <m:ctrlPr>
                                  <w:rPr>
                                    <w:rFonts w:ascii="Cambria Math" w:eastAsia="Cambria Math" w:hAnsi="Cambria Math" w:cs="+mn-cs"/>
                                    <w:i/>
                                    <w:iCs/>
                                    <w:color w:val="000000"/>
                                    <w:sz w:val="28"/>
                                    <w:szCs w:val="28"/>
                                  </w:rPr>
                                </m:ctrlPr>
                              </m:accPr>
                              <m:e>
                                <m:r>
                                  <w:rPr>
                                    <w:rFonts w:ascii="Cambria Math" w:eastAsia="Cambria Math" w:hAnsi="Cambria Math" w:cs="+mn-cs"/>
                                    <w:color w:val="000000"/>
                                    <w:sz w:val="28"/>
                                    <w:szCs w:val="28"/>
                                  </w:rPr>
                                  <m:t>h</m:t>
                                </m:r>
                              </m:e>
                            </m:acc>
                          </m:den>
                        </m:f>
                      </m:oMath>
                    </w:p>
                  </w:txbxContent>
                </v:textbox>
                <w10:anchorlock/>
              </v:shape>
            </w:pict>
          </mc:Fallback>
        </mc:AlternateContent>
      </w:r>
      <w:r w:rsidR="00F70325" w:rsidRPr="00C94ECB">
        <w:tab/>
      </w:r>
    </w:p>
    <w:p w:rsidR="00F70325" w:rsidRPr="00C94ECB" w:rsidRDefault="00F70325" w:rsidP="00F70325">
      <w:r w:rsidRPr="00C94ECB">
        <w:t>where</w:t>
      </w:r>
      <w:r w:rsidRPr="00C94ECB">
        <w:tab/>
      </w:r>
      <w:r w:rsidRPr="00C94ECB">
        <w:tab/>
      </w:r>
      <w:r w:rsidRPr="00C94ECB">
        <w:tab/>
      </w:r>
      <w:r w:rsidRPr="00C94ECB">
        <w:tab/>
      </w:r>
      <w:r w:rsidRPr="00C94ECB">
        <w:tab/>
      </w:r>
      <w:r w:rsidRPr="00C94ECB">
        <w:tab/>
      </w:r>
      <w:r w:rsidRPr="00C94ECB">
        <w:tab/>
      </w:r>
    </w:p>
    <w:p w:rsidR="00F70325" w:rsidRPr="00C94ECB" w:rsidRDefault="00F70325" w:rsidP="00F70325">
      <w:r w:rsidRPr="00C94ECB">
        <w:t>hi = individual health in quality adjusted life expectancy (QALE)</w:t>
      </w:r>
      <w:r w:rsidRPr="00C94ECB">
        <w:tab/>
      </w:r>
      <w:r w:rsidRPr="00C94ECB">
        <w:tab/>
      </w:r>
      <w:r w:rsidRPr="00C94ECB">
        <w:tab/>
      </w:r>
      <w:r w:rsidRPr="00C94ECB">
        <w:tab/>
      </w:r>
      <w:r w:rsidRPr="00C94ECB">
        <w:tab/>
      </w:r>
    </w:p>
    <w:p w:rsidR="00F70325" w:rsidRPr="00C94ECB" w:rsidRDefault="00F70325" w:rsidP="00F70325">
      <w:r w:rsidRPr="00C94ECB">
        <w:t xml:space="preserve">N = </w:t>
      </w:r>
      <w:r w:rsidR="008B4B07">
        <w:t>tota</w:t>
      </w:r>
      <w:r w:rsidRPr="00C94ECB">
        <w:t>l population size</w:t>
      </w:r>
      <w:r w:rsidRPr="00C94ECB">
        <w:tab/>
      </w:r>
      <w:r w:rsidRPr="00C94ECB">
        <w:tab/>
      </w:r>
      <w:r w:rsidRPr="00C94ECB">
        <w:tab/>
      </w:r>
      <w:r w:rsidRPr="00C94ECB">
        <w:tab/>
      </w:r>
      <w:r w:rsidRPr="00C94ECB">
        <w:tab/>
      </w:r>
    </w:p>
    <w:p w:rsidR="00F70325" w:rsidRPr="00C94ECB" w:rsidRDefault="008B4B07" w:rsidP="00F70325">
      <w:r>
        <w:t>ε</w:t>
      </w:r>
      <w:r w:rsidR="00F70325" w:rsidRPr="00C94ECB">
        <w:t xml:space="preserve"> = Atkinson inequality aversion parameter</w:t>
      </w:r>
      <w:r w:rsidR="00F70325" w:rsidRPr="00C94ECB">
        <w:tab/>
      </w:r>
    </w:p>
    <w:p w:rsidR="00F70325" w:rsidRPr="00C94ECB" w:rsidRDefault="00F70325" w:rsidP="00F70325">
      <w:r w:rsidRPr="00C94ECB">
        <w:t>EDE = "Equally Distributed Equivalent" health (the Atkinson index of social welfare on the same scale as individual health)</w:t>
      </w:r>
      <w:r w:rsidRPr="00C94ECB">
        <w:tab/>
      </w:r>
      <w:r w:rsidRPr="00C94ECB">
        <w:tab/>
      </w:r>
      <w:r w:rsidRPr="00C94ECB">
        <w:tab/>
      </w:r>
      <w:r w:rsidRPr="00C94ECB">
        <w:tab/>
      </w:r>
      <w:r w:rsidRPr="00C94ECB">
        <w:tab/>
      </w:r>
      <w:r w:rsidRPr="00C94ECB">
        <w:tab/>
      </w:r>
      <w:r w:rsidRPr="00C94ECB">
        <w:tab/>
      </w:r>
    </w:p>
    <w:p w:rsidR="00F70325" w:rsidRPr="00C94ECB" w:rsidRDefault="00F70325" w:rsidP="00F70325">
      <w:r w:rsidRPr="00C94ECB">
        <w:t>A(</w:t>
      </w:r>
      <w:r w:rsidR="008B4B07">
        <w:t>ε</w:t>
      </w:r>
      <w:r w:rsidRPr="00C94ECB">
        <w:t>) = Atkinson index of inequality (scaled from 0 to 1, where 0 represents no inequality and 1 represents full inequality)</w:t>
      </w:r>
      <w:r w:rsidRPr="00C94ECB">
        <w:tab/>
      </w:r>
      <w:r w:rsidRPr="00C94ECB">
        <w:tab/>
      </w:r>
      <w:r w:rsidRPr="00C94ECB">
        <w:tab/>
      </w:r>
      <w:r w:rsidRPr="00C94ECB">
        <w:tab/>
      </w:r>
      <w:r w:rsidRPr="00C94ECB">
        <w:tab/>
      </w:r>
      <w:r w:rsidRPr="00C94ECB">
        <w:tab/>
      </w:r>
      <w:r w:rsidRPr="00C94ECB">
        <w:tab/>
      </w:r>
    </w:p>
    <w:p w:rsidR="00F70325" w:rsidRPr="00C94ECB" w:rsidRDefault="00B55388" w:rsidP="00F70325">
      <w:r w:rsidRPr="00C94ECB">
        <w:rPr>
          <w:noProof/>
          <w:lang w:eastAsia="en-GB"/>
        </w:rPr>
        <mc:AlternateContent>
          <mc:Choice Requires="wps">
            <w:drawing>
              <wp:anchor distT="0" distB="0" distL="114300" distR="114300" simplePos="0" relativeHeight="251657216" behindDoc="0" locked="0" layoutInCell="1" allowOverlap="1" wp14:anchorId="7DD37FD3" wp14:editId="35DBC947">
                <wp:simplePos x="0" y="0"/>
                <wp:positionH relativeFrom="column">
                  <wp:posOffset>-50800</wp:posOffset>
                </wp:positionH>
                <wp:positionV relativeFrom="paragraph">
                  <wp:posOffset>46355</wp:posOffset>
                </wp:positionV>
                <wp:extent cx="112395" cy="179070"/>
                <wp:effectExtent l="0" t="0" r="15240" b="0"/>
                <wp:wrapNone/>
                <wp:docPr id="5" name="TextBox 4"/>
                <wp:cNvGraphicFramePr/>
                <a:graphic xmlns:a="http://schemas.openxmlformats.org/drawingml/2006/main">
                  <a:graphicData uri="http://schemas.microsoft.com/office/word/2010/wordprocessingShape">
                    <wps:wsp>
                      <wps:cNvSpPr txBox="1"/>
                      <wps:spPr>
                        <a:xfrm>
                          <a:off x="0" y="0"/>
                          <a:ext cx="112395" cy="179070"/>
                        </a:xfrm>
                        <a:prstGeom prst="rect">
                          <a:avLst/>
                        </a:prstGeom>
                        <a:noFill/>
                        <a:ln>
                          <a:noFill/>
                        </a:ln>
                        <a:effectLst/>
                      </wps:spPr>
                      <wps:txbx>
                        <w:txbxContent>
                          <w:p w:rsidR="00B55388" w:rsidRDefault="00D57E66" w:rsidP="00B55388">
                            <w:pPr>
                              <w:pStyle w:val="NormalWeb"/>
                              <w:spacing w:before="0" w:beforeAutospacing="0" w:after="0" w:afterAutospacing="0"/>
                            </w:pPr>
                            <m:oMathPara>
                              <m:oMathParaPr>
                                <m:jc m:val="centerGroup"/>
                              </m:oMathParaPr>
                              <m:oMath>
                                <m:acc>
                                  <m:accPr>
                                    <m:chr m:val="̅"/>
                                    <m:ctrlPr>
                                      <w:rPr>
                                        <w:rFonts w:ascii="Cambria Math" w:eastAsia="+mn-ea" w:hAnsi="Cambria Math" w:cs="+mn-cs"/>
                                        <w:i/>
                                        <w:iCs/>
                                        <w:color w:val="000000"/>
                                        <w:sz w:val="22"/>
                                        <w:szCs w:val="22"/>
                                      </w:rPr>
                                    </m:ctrlPr>
                                  </m:accPr>
                                  <m:e>
                                    <m:r>
                                      <w:rPr>
                                        <w:rFonts w:ascii="Cambria Math" w:eastAsia="+mn-ea" w:hAnsi="Cambria Math" w:cs="+mn-cs"/>
                                        <w:color w:val="000000"/>
                                        <w:sz w:val="22"/>
                                        <w:szCs w:val="22"/>
                                      </w:rPr>
                                      <m:t>h</m:t>
                                    </m:r>
                                  </m:e>
                                </m:acc>
                              </m:oMath>
                            </m:oMathPara>
                          </w:p>
                        </w:txbxContent>
                      </wps:txbx>
                      <wps:bodyPr vertOverflow="clip" horzOverflow="clip" wrap="none" lIns="0" tIns="0" rIns="0" bIns="0" rtlCol="0" anchor="t">
                        <a:spAutoFit/>
                      </wps:bodyPr>
                    </wps:wsp>
                  </a:graphicData>
                </a:graphic>
              </wp:anchor>
            </w:drawing>
          </mc:Choice>
          <mc:Fallback>
            <w:pict>
              <v:shape w14:anchorId="7DD37FD3" id="TextBox 4" o:spid="_x0000_s1028" type="#_x0000_t202" style="position:absolute;margin-left:-4pt;margin-top:3.65pt;width:8.85pt;height:14.1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" filled="f" stroked="f">
                <v:textbox style="mso-fit-shape-to-text:t" inset="0,0,0,0">
                  <w:txbxContent>
                    <w:p w:rsidR="00B55388" w:rsidRDefault="00C03DDA" w:rsidP="00B55388">
                      <w:pPr>
                        <w:pStyle w:val="NormalWeb"/>
                        <w:spacing w:before="0" w:beforeAutospacing="0" w:after="0" w:afterAutospacing="0"/>
                      </w:pPr>
                      <m:oMathPara>
                        <m:oMathParaPr>
                          <m:jc m:val="centerGroup"/>
                        </m:oMathParaPr>
                        <m:oMath>
                          <m:acc>
                            <m:accPr>
                              <m:chr m:val="̅"/>
                              <m:ctrlPr>
                                <w:rPr>
                                  <w:rFonts w:ascii="Cambria Math" w:eastAsia="+mn-ea" w:hAnsi="Cambria Math" w:cs="+mn-cs"/>
                                  <w:i/>
                                  <w:iCs/>
                                  <w:color w:val="000000"/>
                                  <w:sz w:val="22"/>
                                  <w:szCs w:val="22"/>
                                </w:rPr>
                              </m:ctrlPr>
                            </m:accPr>
                            <m:e>
                              <m:r>
                                <w:rPr>
                                  <w:rFonts w:ascii="Cambria Math" w:eastAsia="+mn-ea" w:hAnsi="Cambria Math" w:cs="+mn-cs"/>
                                  <w:color w:val="000000"/>
                                  <w:sz w:val="22"/>
                                  <w:szCs w:val="22"/>
                                </w:rPr>
                                <m:t>h</m:t>
                              </m:r>
                            </m:e>
                          </m:acc>
                        </m:oMath>
                      </m:oMathPara>
                    </w:p>
                  </w:txbxContent>
                </v:textbox>
              </v:shape>
            </w:pict>
          </mc:Fallback>
        </mc:AlternateContent>
      </w:r>
      <w:r w:rsidR="00F70325" w:rsidRPr="00C94ECB">
        <w:t xml:space="preserve">    = mean health in the general population</w:t>
      </w:r>
      <w:r w:rsidR="00F70325" w:rsidRPr="00C94ECB">
        <w:tab/>
      </w:r>
      <w:r w:rsidR="00F70325" w:rsidRPr="00C94ECB">
        <w:tab/>
      </w:r>
      <w:r w:rsidR="00F70325" w:rsidRPr="00C94ECB">
        <w:tab/>
      </w:r>
      <w:r w:rsidR="00F70325" w:rsidRPr="00C94ECB">
        <w:tab/>
      </w:r>
      <w:r w:rsidR="00F70325" w:rsidRPr="00C94ECB">
        <w:tab/>
      </w:r>
      <w:r w:rsidR="00F70325" w:rsidRPr="00C94ECB">
        <w:tab/>
      </w:r>
      <w:r w:rsidR="00F70325" w:rsidRPr="00C94ECB">
        <w:tab/>
      </w:r>
    </w:p>
    <w:p w:rsidR="001A57E2" w:rsidRPr="00C94ECB" w:rsidRDefault="00F70325" w:rsidP="00F70325">
      <w:r w:rsidRPr="00C94ECB">
        <w:t>The Atkinson index of inequality measures the fraction of population health you would sacrifice to achieve full equality in health, given the current health distribution and your degree of inequality aversion.</w:t>
      </w:r>
    </w:p>
    <w:p w:rsidR="00D81745" w:rsidRPr="008B4B07" w:rsidRDefault="00D81745" w:rsidP="00F70325">
      <w:pPr>
        <w:rPr>
          <w:i/>
        </w:rPr>
      </w:pPr>
      <w:r w:rsidRPr="008B4B07">
        <w:rPr>
          <w:i/>
        </w:rPr>
        <w:t>Now look at the next sheet to see these results plotted on the equity impact plane. Once you have interpreted the equity impact plane, turn to sheet 4 to analyse the equity trade-off.</w:t>
      </w:r>
    </w:p>
    <w:p w:rsidR="00D81745" w:rsidRPr="00C94ECB" w:rsidRDefault="00D81745" w:rsidP="00F70325">
      <w:r w:rsidRPr="00C94ECB">
        <w:tab/>
      </w:r>
      <w:r w:rsidRPr="00C94ECB">
        <w:tab/>
      </w:r>
    </w:p>
    <w:p w:rsidR="00D81745" w:rsidRPr="00C94ECB" w:rsidRDefault="00D81745">
      <w:pPr>
        <w:rPr>
          <w:b/>
        </w:rPr>
      </w:pPr>
      <w:r w:rsidRPr="00C94ECB">
        <w:rPr>
          <w:b/>
        </w:rPr>
        <w:br w:type="page"/>
      </w:r>
    </w:p>
    <w:p w:rsidR="008D6F7F" w:rsidRPr="008B4B07" w:rsidRDefault="008D6F7F" w:rsidP="00A24B54">
      <w:pPr>
        <w:rPr>
          <w:b/>
          <w:sz w:val="24"/>
        </w:rPr>
      </w:pPr>
      <w:r w:rsidRPr="008B4B07">
        <w:rPr>
          <w:b/>
          <w:sz w:val="24"/>
        </w:rPr>
        <w:lastRenderedPageBreak/>
        <w:t>Sheet 4. Equity trade off</w:t>
      </w:r>
    </w:p>
    <w:p w:rsidR="002353BA" w:rsidRDefault="002353BA" w:rsidP="002353BA">
      <w:r>
        <w:t>To illustrate the equity trade-off we can use the equally distributed equivalent health (EDE) Atkinson welfare index, which combines total health and health inequality into a single overall measure of health achievement.</w:t>
      </w:r>
    </w:p>
    <w:p w:rsidR="002353BA" w:rsidRDefault="002353BA" w:rsidP="002353BA">
      <w:r w:rsidRPr="002353BA">
        <w:rPr>
          <w:b/>
        </w:rPr>
        <w:t>TASK 3</w:t>
      </w:r>
      <w:r>
        <w:t xml:space="preserve">. Using a </w:t>
      </w:r>
      <w:r w:rsidRPr="002353BA">
        <w:rPr>
          <w:i/>
        </w:rPr>
        <w:t>data table</w:t>
      </w:r>
      <w:r>
        <w:t xml:space="preserve"> (below highlighted in green) calculate the EDE under each Programme for a range of inequality aversion parameters.</w:t>
      </w:r>
      <w:r>
        <w:tab/>
      </w:r>
      <w:r>
        <w:tab/>
      </w:r>
      <w:r>
        <w:tab/>
      </w:r>
    </w:p>
    <w:p w:rsidR="002353BA" w:rsidRDefault="002353BA" w:rsidP="002353BA">
      <w:r>
        <w:t xml:space="preserve">Hint: Fill in the first row and then highlight the whole table and go into Data, What if Analysis, Data Table, and enter B4 as Column Input.  </w:t>
      </w:r>
    </w:p>
    <w:p w:rsidR="00A24B54" w:rsidRPr="00C94ECB" w:rsidRDefault="002353BA" w:rsidP="002353BA">
      <w:r>
        <w:t>For this "what if" analysis to work, the starting inequality aversion value in cell B4 needs to stay set to 0.  If you cannot see the 'What-If Analysis' option on the Data tab, install the Analysis Toolpak by going to 'File', select 'Options' then 'Add-Ins' and use the 'Manage: Excel Add-ins' option.</w:t>
      </w:r>
    </w:p>
    <w:p w:rsidR="00A24B54" w:rsidRPr="00C94ECB" w:rsidRDefault="00A24B54" w:rsidP="00A24B54">
      <w:r w:rsidRPr="00C94ECB">
        <w:t>The point at which EDE impact becomes positive is the point at which Programme B becomes worthwhile.  The larger your degree of inequality aversion, the more worthwhile you will consider Programme B to be.</w:t>
      </w:r>
    </w:p>
    <w:p w:rsidR="00D81745" w:rsidRPr="002353BA" w:rsidRDefault="00D81745" w:rsidP="00D81745">
      <w:pPr>
        <w:rPr>
          <w:i/>
        </w:rPr>
      </w:pPr>
      <w:r w:rsidRPr="002353BA">
        <w:rPr>
          <w:i/>
        </w:rPr>
        <w:t>Now turn to sheet 5 to see how it all fits together</w:t>
      </w:r>
      <w:r w:rsidRPr="002353BA">
        <w:rPr>
          <w:i/>
        </w:rPr>
        <w:tab/>
      </w:r>
      <w:r w:rsidRPr="002353BA">
        <w:rPr>
          <w:i/>
        </w:rPr>
        <w:tab/>
      </w:r>
      <w:r w:rsidRPr="002353BA">
        <w:rPr>
          <w:i/>
        </w:rPr>
        <w:tab/>
      </w:r>
      <w:r w:rsidRPr="002353BA">
        <w:rPr>
          <w:i/>
        </w:rPr>
        <w:tab/>
      </w:r>
      <w:r w:rsidRPr="002353BA">
        <w:rPr>
          <w:i/>
        </w:rPr>
        <w:tab/>
      </w:r>
    </w:p>
    <w:p w:rsidR="00A24B54" w:rsidRPr="002353BA" w:rsidRDefault="00D81745" w:rsidP="00D81745">
      <w:pPr>
        <w:rPr>
          <w:b/>
          <w:sz w:val="24"/>
        </w:rPr>
      </w:pPr>
      <w:r w:rsidRPr="002353BA">
        <w:rPr>
          <w:b/>
          <w:sz w:val="24"/>
        </w:rPr>
        <w:t>Sheet 5. Final</w:t>
      </w:r>
    </w:p>
    <w:p w:rsidR="00D81745" w:rsidRPr="00C94ECB" w:rsidRDefault="00284C86" w:rsidP="00D81745">
      <w:r w:rsidRPr="00C94ECB">
        <w:t>Equity Trade-Off Dashboard.</w:t>
      </w:r>
    </w:p>
    <w:p w:rsidR="00284C86" w:rsidRPr="00C94ECB" w:rsidRDefault="00284C86" w:rsidP="00D81745">
      <w:r w:rsidRPr="00C94ECB">
        <w:t>Try entering a different choice of inequality aversion parameter in the green box.  Then click the grey button to update the equity weight</w:t>
      </w:r>
      <w:r w:rsidR="00D36296">
        <w:t>.</w:t>
      </w:r>
    </w:p>
    <w:p w:rsidR="00284C86" w:rsidRPr="00C94ECB" w:rsidRDefault="00284C86" w:rsidP="00D81745">
      <w:r w:rsidRPr="00C94ECB">
        <w:t>Then try altering the input values in blue and see what happens to the results and the graphs.</w:t>
      </w:r>
    </w:p>
    <w:p w:rsidR="00284C86" w:rsidRPr="00C94ECB" w:rsidRDefault="00284C86" w:rsidP="00284C86"/>
    <w:sectPr w:rsidR="00284C86" w:rsidRPr="00C94EC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E66" w:rsidRDefault="00D57E66" w:rsidP="00FE4C7F">
      <w:pPr>
        <w:spacing w:after="0" w:line="240" w:lineRule="auto"/>
      </w:pPr>
      <w:r>
        <w:separator/>
      </w:r>
    </w:p>
  </w:endnote>
  <w:endnote w:type="continuationSeparator" w:id="0">
    <w:p w:rsidR="00D57E66" w:rsidRDefault="00D57E66" w:rsidP="00FE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879793"/>
      <w:docPartObj>
        <w:docPartGallery w:val="Page Numbers (Bottom of Page)"/>
        <w:docPartUnique/>
      </w:docPartObj>
    </w:sdtPr>
    <w:sdtEndPr>
      <w:rPr>
        <w:noProof/>
      </w:rPr>
    </w:sdtEndPr>
    <w:sdtContent>
      <w:p w:rsidR="00FE4C7F" w:rsidRDefault="00FE4C7F">
        <w:pPr>
          <w:pStyle w:val="Footer"/>
          <w:jc w:val="right"/>
        </w:pPr>
        <w:r>
          <w:fldChar w:fldCharType="begin"/>
        </w:r>
        <w:r>
          <w:instrText xml:space="preserve"> PAGE   \* MERGEFORMAT </w:instrText>
        </w:r>
        <w:r>
          <w:fldChar w:fldCharType="separate"/>
        </w:r>
        <w:r w:rsidR="00D36296">
          <w:rPr>
            <w:noProof/>
          </w:rPr>
          <w:t>1</w:t>
        </w:r>
        <w:r>
          <w:rPr>
            <w:noProof/>
          </w:rPr>
          <w:fldChar w:fldCharType="end"/>
        </w:r>
      </w:p>
    </w:sdtContent>
  </w:sdt>
  <w:p w:rsidR="00FE4C7F" w:rsidRDefault="00FE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E66" w:rsidRDefault="00D57E66" w:rsidP="00FE4C7F">
      <w:pPr>
        <w:spacing w:after="0" w:line="240" w:lineRule="auto"/>
      </w:pPr>
      <w:r>
        <w:separator/>
      </w:r>
    </w:p>
  </w:footnote>
  <w:footnote w:type="continuationSeparator" w:id="0">
    <w:p w:rsidR="00D57E66" w:rsidRDefault="00D57E66" w:rsidP="00FE4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422"/>
    <w:multiLevelType w:val="hybridMultilevel"/>
    <w:tmpl w:val="1A36F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AC6F76"/>
    <w:multiLevelType w:val="hybridMultilevel"/>
    <w:tmpl w:val="A7D2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F1CD6"/>
    <w:multiLevelType w:val="hybridMultilevel"/>
    <w:tmpl w:val="C3F87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7D582E"/>
    <w:multiLevelType w:val="hybridMultilevel"/>
    <w:tmpl w:val="E0A24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2B"/>
    <w:rsid w:val="0016262B"/>
    <w:rsid w:val="001A57E2"/>
    <w:rsid w:val="00225DE2"/>
    <w:rsid w:val="002353BA"/>
    <w:rsid w:val="00284C86"/>
    <w:rsid w:val="002A0C8C"/>
    <w:rsid w:val="002C46DC"/>
    <w:rsid w:val="004A2258"/>
    <w:rsid w:val="005A69A0"/>
    <w:rsid w:val="006E535F"/>
    <w:rsid w:val="006E6CE4"/>
    <w:rsid w:val="007A1975"/>
    <w:rsid w:val="007D451A"/>
    <w:rsid w:val="007E7276"/>
    <w:rsid w:val="0087445A"/>
    <w:rsid w:val="008B4B07"/>
    <w:rsid w:val="008D6F7F"/>
    <w:rsid w:val="008F3B70"/>
    <w:rsid w:val="009E689E"/>
    <w:rsid w:val="00A0002B"/>
    <w:rsid w:val="00A24B54"/>
    <w:rsid w:val="00B55388"/>
    <w:rsid w:val="00BA7549"/>
    <w:rsid w:val="00BC53E7"/>
    <w:rsid w:val="00C03DDA"/>
    <w:rsid w:val="00C94ECB"/>
    <w:rsid w:val="00D36296"/>
    <w:rsid w:val="00D57E66"/>
    <w:rsid w:val="00D81745"/>
    <w:rsid w:val="00F70325"/>
    <w:rsid w:val="00FE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C1B1"/>
  <w15:docId w15:val="{BBCFD4B2-FC13-4E1F-9F45-CD876BB2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7E2"/>
    <w:pPr>
      <w:ind w:left="720"/>
      <w:contextualSpacing/>
    </w:pPr>
  </w:style>
  <w:style w:type="paragraph" w:styleId="NormalWeb">
    <w:name w:val="Normal (Web)"/>
    <w:basedOn w:val="Normal"/>
    <w:uiPriority w:val="99"/>
    <w:semiHidden/>
    <w:unhideWhenUsed/>
    <w:rsid w:val="005A69A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5A6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9A0"/>
    <w:rPr>
      <w:rFonts w:ascii="Tahoma" w:hAnsi="Tahoma" w:cs="Tahoma"/>
      <w:sz w:val="16"/>
      <w:szCs w:val="16"/>
    </w:rPr>
  </w:style>
  <w:style w:type="paragraph" w:styleId="Header">
    <w:name w:val="header"/>
    <w:basedOn w:val="Normal"/>
    <w:link w:val="HeaderChar"/>
    <w:uiPriority w:val="99"/>
    <w:unhideWhenUsed/>
    <w:rsid w:val="00FE4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C7F"/>
  </w:style>
  <w:style w:type="paragraph" w:styleId="Footer">
    <w:name w:val="footer"/>
    <w:basedOn w:val="Normal"/>
    <w:link w:val="FooterChar"/>
    <w:uiPriority w:val="99"/>
    <w:unhideWhenUsed/>
    <w:rsid w:val="00FE4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C7F"/>
  </w:style>
  <w:style w:type="character" w:styleId="Hyperlink">
    <w:name w:val="Hyperlink"/>
    <w:basedOn w:val="DefaultParagraphFont"/>
    <w:uiPriority w:val="99"/>
    <w:unhideWhenUsed/>
    <w:rsid w:val="00BC53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09291">
      <w:bodyDiv w:val="1"/>
      <w:marLeft w:val="0"/>
      <w:marRight w:val="0"/>
      <w:marTop w:val="0"/>
      <w:marBottom w:val="0"/>
      <w:divBdr>
        <w:top w:val="none" w:sz="0" w:space="0" w:color="auto"/>
        <w:left w:val="none" w:sz="0" w:space="0" w:color="auto"/>
        <w:bottom w:val="none" w:sz="0" w:space="0" w:color="auto"/>
        <w:right w:val="none" w:sz="0" w:space="0" w:color="auto"/>
      </w:divBdr>
    </w:div>
    <w:div w:id="169129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rk.ac.uk/che/research/equity/economic_evalu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Cookson</cp:lastModifiedBy>
  <cp:revision>2</cp:revision>
  <dcterms:created xsi:type="dcterms:W3CDTF">2018-02-19T13:08:00Z</dcterms:created>
  <dcterms:modified xsi:type="dcterms:W3CDTF">2018-02-19T13:08:00Z</dcterms:modified>
</cp:coreProperties>
</file>